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41" w:rsidRPr="00F86618" w:rsidRDefault="00807447" w:rsidP="00C167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6618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C16732" w:rsidRPr="00F86618" w:rsidRDefault="00C16732" w:rsidP="00C16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32" w:rsidRPr="00F86618" w:rsidRDefault="00807447" w:rsidP="00C16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618">
        <w:rPr>
          <w:rFonts w:ascii="Times New Roman" w:hAnsi="Times New Roman" w:cs="Times New Roman"/>
          <w:b/>
          <w:bCs/>
          <w:sz w:val="24"/>
          <w:szCs w:val="24"/>
        </w:rPr>
        <w:t>ПОСЛЕДСТВИЯ ОТСУТСТВИЯ У ЭНЕРГОСБЫТОВОЙ ОРГАНИЗАЦИИ</w:t>
      </w:r>
    </w:p>
    <w:p w:rsidR="00F86618" w:rsidRPr="00F86618" w:rsidRDefault="00807447" w:rsidP="00F866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618">
        <w:rPr>
          <w:rFonts w:ascii="Times New Roman" w:hAnsi="Times New Roman" w:cs="Times New Roman"/>
          <w:b/>
          <w:bCs/>
          <w:sz w:val="24"/>
          <w:szCs w:val="24"/>
        </w:rPr>
        <w:t>ПРАВА РАСПОРЯЖЕНИЯ ЭЛЕКТРИЧЕСКОЙ ЭНЕРГИЕЙ (МОЩНОСТЬЮ)</w:t>
      </w:r>
    </w:p>
    <w:p w:rsidR="00F86618" w:rsidRPr="00F86618" w:rsidRDefault="00807447" w:rsidP="00F86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энергосбытовой (энергоснабжающей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организации отсутствует или прекратилось право распоряжения электрической энергией (мощностью), поставляемой в точках поставки по договору, обеспечивающему продажу электрической энергии (мощности), то для владельца энергопринимающих устройств, в целях сн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абжения электрической энергией которых был заключен такой дог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овор, наступают предусмотренные Основными положениями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 последствия бездоговорного потребления электрической энергии в определяемом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потребления, которое не обеспечено продажей по договору с такой энергосбытовой (энергоснабжающей) организацией. </w:t>
      </w:r>
    </w:p>
    <w:p w:rsidR="00F86618" w:rsidRPr="00F86618" w:rsidRDefault="00807447" w:rsidP="00F86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организация, к объектам электросетевого хозяйства которой непосредственно или опосредованно присоединены указанные э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нергопринимающие устройства, в течение 1 дня со дня, когда ей стало известно о факте бездоговорного потребления, направляет владельцу указанных энергопринимающих устройств уведомление, содержащее указание на отсутствие у энергосбытовой (энергоснабжающей) о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права распоряжения электрической энергией в соответствующих точках поставки по договору, с требованием: </w:t>
      </w:r>
    </w:p>
    <w:p w:rsidR="00F86618" w:rsidRPr="00825E39" w:rsidRDefault="00807447" w:rsidP="00825E3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положениями</w:t>
      </w:r>
      <w:r w:rsidRPr="0082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со дня получения уведомления договор, обеспечивающий продажу электрическ</w:t>
      </w:r>
      <w:r w:rsidRPr="0082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энергии (мощности); </w:t>
      </w:r>
    </w:p>
    <w:p w:rsidR="00F86618" w:rsidRPr="002860FF" w:rsidRDefault="00807447" w:rsidP="002860F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электрическую энергию (мощность), потребленную указанными энергопринимающими устройствами за весь период, в течение которого осуществлялось бездоговорное потребление электрической энергии. </w:t>
      </w:r>
    </w:p>
    <w:p w:rsidR="00F86618" w:rsidRPr="00F86618" w:rsidRDefault="00807447" w:rsidP="00F86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энергопринимающими устройствами путем введения полного и (или) частичного ограничения режима потребления электрической энергии в соответствии с </w:t>
      </w:r>
      <w:hyperlink r:id="rId7" w:history="1">
        <w:r w:rsidRPr="002860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121</w:t>
        </w:r>
      </w:hyperlink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положений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обеспечению оплаты владельцем указанных энергопринимающих устройств объема электрической энергии (мощности), потребленной указанными энергопринимающими устройствами за весь период, в течение которого осуществлялось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бездоговорное потребление электрической энергии. </w:t>
      </w:r>
    </w:p>
    <w:p w:rsidR="00F86618" w:rsidRPr="00F86618" w:rsidRDefault="00807447" w:rsidP="00F86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потребления электрической энергии (мощности) в этом случае рассчитывается в соответствии с </w:t>
      </w:r>
      <w:hyperlink r:id="rId8" w:history="1">
        <w:r w:rsidRPr="002860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X</w:t>
        </w:r>
      </w:hyperlink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положений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6618" w:rsidRPr="00F86618" w:rsidRDefault="00F86618" w:rsidP="00C167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6618" w:rsidRPr="00F86618" w:rsidSect="00C16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47" w:rsidRDefault="00807447">
      <w:pPr>
        <w:spacing w:after="0" w:line="240" w:lineRule="auto"/>
      </w:pPr>
      <w:r>
        <w:separator/>
      </w:r>
    </w:p>
  </w:endnote>
  <w:endnote w:type="continuationSeparator" w:id="0">
    <w:p w:rsidR="00807447" w:rsidRDefault="0080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FC" w:rsidRDefault="0080744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FC" w:rsidRDefault="00255AFC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FC" w:rsidRDefault="0080744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3-0100,  ID:128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47" w:rsidRDefault="00807447">
      <w:pPr>
        <w:spacing w:after="0" w:line="240" w:lineRule="auto"/>
      </w:pPr>
      <w:r>
        <w:separator/>
      </w:r>
    </w:p>
  </w:footnote>
  <w:footnote w:type="continuationSeparator" w:id="0">
    <w:p w:rsidR="00807447" w:rsidRDefault="0080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E5" w:rsidRDefault="00AF6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E5" w:rsidRDefault="00AF62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E5" w:rsidRDefault="00AF6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F06C8"/>
    <w:multiLevelType w:val="hybridMultilevel"/>
    <w:tmpl w:val="6ECCF80A"/>
    <w:lvl w:ilvl="0" w:tplc="7EC6FEC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FD765B7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FC7D1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FE4CB5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DBA671C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38C657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DD8641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10676A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E0D86D3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E6"/>
    <w:rsid w:val="00255AFC"/>
    <w:rsid w:val="002860FF"/>
    <w:rsid w:val="00807447"/>
    <w:rsid w:val="00825E39"/>
    <w:rsid w:val="00AF62E5"/>
    <w:rsid w:val="00B258E6"/>
    <w:rsid w:val="00C16732"/>
    <w:rsid w:val="00C46041"/>
    <w:rsid w:val="00F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chartTrackingRefBased/>
  <w15:docId w15:val="{32EB9C9F-1A03-481E-B221-32EC8B86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6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1669&amp;dst=100749&amp;field=134&amp;date=30.05.20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1669&amp;dst=100691&amp;field=134&amp;date=30.05.20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Каргапольцева Яна Андреевна</dc:creator>
  <cp:lastModifiedBy>Каргапольцева Яна Андреевна</cp:lastModifiedBy>
  <cp:revision>5</cp:revision>
  <dcterms:created xsi:type="dcterms:W3CDTF">2022-05-30T05:32:00Z</dcterms:created>
  <dcterms:modified xsi:type="dcterms:W3CDTF">2023-02-10T10:28:00Z</dcterms:modified>
</cp:coreProperties>
</file>